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8764F" w14:textId="77777777" w:rsidR="00535095" w:rsidRDefault="00535095">
      <w:pPr>
        <w:pStyle w:val="Titolo"/>
      </w:pPr>
      <w:r>
        <w:t>DECRETO DIREZIONE GENERALE SANITA' 13237 DEL 18/11/2008</w:t>
      </w:r>
    </w:p>
    <w:p w14:paraId="156F8E51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</w:p>
    <w:p w14:paraId="73B37631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ALLEGATO A</w:t>
      </w:r>
    </w:p>
    <w:p w14:paraId="46CA1B8E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</w:p>
    <w:p w14:paraId="528FE3D6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PROTOCOLLO PER LA VALUTAZIONE DELLO STATO DI CONSERVAZIONE DELLE COPERTURE IN</w:t>
      </w:r>
    </w:p>
    <w:p w14:paraId="75246CFE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CEMENTO-AMIANTO</w:t>
      </w:r>
    </w:p>
    <w:p w14:paraId="11764DD4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</w:p>
    <w:p w14:paraId="029473BE" w14:textId="77777777" w:rsidR="00535095" w:rsidRDefault="00535095">
      <w:pPr>
        <w:pStyle w:val="Corpodeltesto"/>
      </w:pPr>
      <w:r>
        <w:t>Il presente protocollo ha lo scopo di fornire uno strumento operativo per la valutazione dello stato di conservazione delle coperture in cemento-amianto ed è utile al fine di indirizzare le conseguenti azioni di monitoraggio e/o di bonifica che sono a carico del proprietario dell’immobile e/o del responsabile dell’attività che vi svolge.</w:t>
      </w:r>
    </w:p>
    <w:p w14:paraId="1428FC92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La valutazione dello stato di conservazione delle coperture in cemento-amianto è effettuata tramite l’applicazione dell’Indice di Degrado (I.D.) ed è condotta attraverso l’ ispezione del manufatto.</w:t>
      </w:r>
    </w:p>
    <w:p w14:paraId="036E1788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Se il manufatto presenta una superficie danneggiata – ovvero quando sono presenti danni evidenti ed indiscutibili come ad esempio crepe, fessure evidenti e rotture – in misura superiore al 10% della sua estensione, si procede alla bonifica come indicato dal D.M. 6 Settembre 1994, privilegiando l’ intervento di rimozione.</w:t>
      </w:r>
    </w:p>
    <w:p w14:paraId="31896026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Se il danno è meno evidente e la superficie della copertura in cemento-amianto appare integra all’ispezione visiva, è necessario quantificare lo stato di conservazione attraverso l’applicazione dell’Indice di Degrado.</w:t>
      </w:r>
    </w:p>
    <w:p w14:paraId="7E3A5DEE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Il risultato dell’applicazione dell’I.D. è un valore numerico a cui corrispondono azioni conseguenti che il proprietario dell’immobile e/o il responsabile dell’attività che vi si svolge, dovrà attuare.</w:t>
      </w:r>
    </w:p>
    <w:p w14:paraId="20326248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Qualora il risultato dell’Indice di Degrado produca un valore che non prevede la rimozione della copertura entro i dodici mesi, il proprietario dell’immobile e/o il responsabile dell’attività che vi si svolge, ai sensi del D.M. 6 Settembre 1994 dovrà comunque:</w:t>
      </w:r>
    </w:p>
    <w:p w14:paraId="47F13082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- designare una figura responsabile con compiti di controllo e coordinamento di tutte le attività manutentive che possono interessare i materiali di amianto;</w:t>
      </w:r>
    </w:p>
    <w:p w14:paraId="0ADEC897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- tenere un’idonea documentazione da cui risulti l’ubicazione dei materiali contenenti amianto;</w:t>
      </w:r>
    </w:p>
    <w:p w14:paraId="1FC208C6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- garantire il rispetto di efficaci misure di sicurezza durante le attività di pulizia, gli interventi manutentivi e in occasione di ogni evento che possa causare un disturbo ai materiali contenenti amianto;</w:t>
      </w:r>
    </w:p>
    <w:p w14:paraId="71D74514" w14:textId="77777777" w:rsidR="00535095" w:rsidRDefault="00535095">
      <w:pPr>
        <w:numPr>
          <w:ilvl w:val="0"/>
          <w:numId w:val="1"/>
        </w:numPr>
        <w:tabs>
          <w:tab w:val="left" w:pos="360"/>
        </w:tabs>
        <w:autoSpaceDE w:val="0"/>
        <w:ind w:left="360" w:hanging="36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fornire una corretta informazione agli occupanti dell’edificio sulla presenza di amianto nello stabile.</w:t>
      </w:r>
    </w:p>
    <w:p w14:paraId="6A821676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</w:p>
    <w:p w14:paraId="1BA492FF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</w:p>
    <w:p w14:paraId="13A80A38" w14:textId="77777777" w:rsidR="00535095" w:rsidRDefault="00535095">
      <w:pPr>
        <w:pStyle w:val="Corpodeltesto2"/>
        <w:rPr>
          <w:b w:val="0"/>
          <w:bCs w:val="0"/>
        </w:rPr>
      </w:pPr>
      <w:r>
        <w:t>INDICE DI DEGRADO PER LA VALUTAZIONE</w:t>
      </w:r>
      <w:r>
        <w:rPr>
          <w:b w:val="0"/>
          <w:bCs w:val="0"/>
        </w:rPr>
        <w:t xml:space="preserve"> </w:t>
      </w:r>
      <w:r>
        <w:t>DELLO STATO DI CONSERVAZIONE DELLE COPERTURE IN CEMENTO AMIANTO (I.D.)</w:t>
      </w:r>
    </w:p>
    <w:p w14:paraId="309CC80F" w14:textId="77777777" w:rsidR="00535095" w:rsidRDefault="00535095">
      <w:pPr>
        <w:autoSpaceDE w:val="0"/>
        <w:jc w:val="both"/>
        <w:rPr>
          <w:rFonts w:ascii="Tahoma" w:eastAsia="Tahoma" w:hAnsi="Tahoma"/>
          <w:b/>
          <w:bCs/>
          <w:sz w:val="20"/>
          <w:szCs w:val="20"/>
        </w:rPr>
      </w:pPr>
    </w:p>
    <w:p w14:paraId="09B3A665" w14:textId="77777777" w:rsidR="00535095" w:rsidRDefault="00535095">
      <w:pPr>
        <w:pStyle w:val="Corpodeltesto2"/>
      </w:pPr>
      <w:r>
        <w:t>A) GRADO DI CONSISTENZA DEL MATERIALE (da valutare con tempo asciutto, utilizzando una pinza da meccanici o attrezzo simile) si dà valore:</w:t>
      </w:r>
    </w:p>
    <w:p w14:paraId="4C0313FB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1 se un angolo flesso con una pinza si rompe nettamente con suono secco</w:t>
      </w:r>
    </w:p>
    <w:p w14:paraId="2D22733B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2 se la rottura è facile, sfrangiata, con un suono sordo</w:t>
      </w:r>
    </w:p>
    <w:p w14:paraId="1DAB5941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B) PRESENZA DI FESSURAZIONI /SFALDAMENTI/ CREPE, si dà valore:</w:t>
      </w:r>
    </w:p>
    <w:p w14:paraId="518BDCA4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0 se assenti</w:t>
      </w:r>
    </w:p>
    <w:p w14:paraId="7D9C6B19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2 se rare</w:t>
      </w:r>
    </w:p>
    <w:p w14:paraId="74C59105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3 se numerose</w:t>
      </w:r>
    </w:p>
    <w:p w14:paraId="5A595F3B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C) PRESENZA DI STALATTITI AI PUNTI DI GOCCIOLAMENTO, si dà valore:</w:t>
      </w:r>
    </w:p>
    <w:p w14:paraId="31A7425C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0 se assenti</w:t>
      </w:r>
    </w:p>
    <w:p w14:paraId="78A99AC9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3 se presenti</w:t>
      </w:r>
    </w:p>
    <w:p w14:paraId="1DA40948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D) FRIABILITÀ / SGRETOLAMENTO, si dà valore</w:t>
      </w:r>
      <w:r>
        <w:rPr>
          <w:rFonts w:ascii="Tahoma" w:eastAsia="Tahoma" w:hAnsi="Tahoma"/>
          <w:sz w:val="20"/>
          <w:szCs w:val="20"/>
        </w:rPr>
        <w:t>:</w:t>
      </w:r>
    </w:p>
    <w:p w14:paraId="3904D72A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1 se i fasci di fibre sono inglobati completamente</w:t>
      </w:r>
    </w:p>
    <w:p w14:paraId="09BF2F17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2 se i fasci di fibre sono inglobati solo parzialmente</w:t>
      </w:r>
    </w:p>
    <w:p w14:paraId="067E4E1D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3 se i fasci di fibre sono facilmente asportabili</w:t>
      </w:r>
    </w:p>
    <w:p w14:paraId="36877053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E) VENTILAZIONE, si dà valore</w:t>
      </w:r>
    </w:p>
    <w:p w14:paraId="04ECE610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 xml:space="preserve">1 la copertura </w:t>
      </w:r>
      <w:r>
        <w:rPr>
          <w:rFonts w:ascii="Tahoma" w:eastAsia="Tahoma" w:hAnsi="Tahoma"/>
          <w:b/>
          <w:bCs/>
          <w:sz w:val="20"/>
          <w:szCs w:val="20"/>
        </w:rPr>
        <w:t xml:space="preserve">non si trova </w:t>
      </w:r>
      <w:r>
        <w:rPr>
          <w:rFonts w:ascii="Tahoma" w:eastAsia="Tahoma" w:hAnsi="Tahoma"/>
          <w:sz w:val="20"/>
          <w:szCs w:val="20"/>
        </w:rPr>
        <w:t>in prossimità di bocchette di ventilazione o flussi d’aria</w:t>
      </w:r>
    </w:p>
    <w:p w14:paraId="0F42B959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 xml:space="preserve">2 la copertura </w:t>
      </w:r>
      <w:r>
        <w:rPr>
          <w:rFonts w:ascii="Tahoma" w:eastAsia="Tahoma" w:hAnsi="Tahoma"/>
          <w:b/>
          <w:bCs/>
          <w:sz w:val="20"/>
          <w:szCs w:val="20"/>
        </w:rPr>
        <w:t xml:space="preserve">si trova </w:t>
      </w:r>
      <w:r>
        <w:rPr>
          <w:rFonts w:ascii="Tahoma" w:eastAsia="Tahoma" w:hAnsi="Tahoma"/>
          <w:sz w:val="20"/>
          <w:szCs w:val="20"/>
        </w:rPr>
        <w:t>in prossimità di bocchette di ventilazione o flussi d’aria</w:t>
      </w:r>
    </w:p>
    <w:p w14:paraId="0DCD5464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F) LUOGO DI VITA / LAVORO , si dà valore</w:t>
      </w:r>
    </w:p>
    <w:p w14:paraId="192B37A1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 xml:space="preserve">1 copertura </w:t>
      </w:r>
      <w:r>
        <w:rPr>
          <w:rFonts w:ascii="Tahoma" w:eastAsia="Tahoma" w:hAnsi="Tahoma"/>
          <w:b/>
          <w:bCs/>
          <w:sz w:val="20"/>
          <w:szCs w:val="20"/>
        </w:rPr>
        <w:t xml:space="preserve">non visibile </w:t>
      </w:r>
      <w:r>
        <w:rPr>
          <w:rFonts w:ascii="Tahoma" w:eastAsia="Tahoma" w:hAnsi="Tahoma"/>
          <w:sz w:val="20"/>
          <w:szCs w:val="20"/>
        </w:rPr>
        <w:t>dal sotto (presenza di controsoffitto e/o soletta)</w:t>
      </w:r>
    </w:p>
    <w:p w14:paraId="2A01D0EA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 xml:space="preserve">2 copertura </w:t>
      </w:r>
      <w:r>
        <w:rPr>
          <w:rFonts w:ascii="Tahoma" w:eastAsia="Tahoma" w:hAnsi="Tahoma"/>
          <w:b/>
          <w:bCs/>
          <w:sz w:val="20"/>
          <w:szCs w:val="20"/>
        </w:rPr>
        <w:t xml:space="preserve">a vista </w:t>
      </w:r>
      <w:r>
        <w:rPr>
          <w:rFonts w:ascii="Tahoma" w:eastAsia="Tahoma" w:hAnsi="Tahoma"/>
          <w:sz w:val="20"/>
          <w:szCs w:val="20"/>
        </w:rPr>
        <w:t>dall’interno</w:t>
      </w:r>
    </w:p>
    <w:p w14:paraId="22B8680B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G) DISTANZA DA FINESTRE/BALCONI/TERRAZZE, si dà valore</w:t>
      </w:r>
    </w:p>
    <w:p w14:paraId="177C28F8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1 se la copertura è distante più di 5 m. da finestre/terrazze/balconi</w:t>
      </w:r>
    </w:p>
    <w:p w14:paraId="113C63B3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2 se vi sono finestre/terrazze/balconi prospicenti ed attigue</w:t>
      </w:r>
    </w:p>
    <w:p w14:paraId="54C986F1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H) AREE SENSIBILI, si dà valore</w:t>
      </w:r>
    </w:p>
    <w:p w14:paraId="524ABF3D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lastRenderedPageBreak/>
        <w:t>1 assenza, nel raggio di 300 m, di aree scolastiche/luoghi di cura</w:t>
      </w:r>
    </w:p>
    <w:p w14:paraId="18977263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3 vicinanza ad aree scolastiche/luoghi di cura</w:t>
      </w:r>
    </w:p>
    <w:p w14:paraId="050BF0AC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I) VETUSTA’ (in anni) fattore moltiplicatore, si dà valore</w:t>
      </w:r>
    </w:p>
    <w:p w14:paraId="361CAC82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2 se la copertura è stata installata dopo il 1990</w:t>
      </w:r>
    </w:p>
    <w:p w14:paraId="0512CFA5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3 se la copertura è stata installata tra il 1980 e il 1990</w:t>
      </w:r>
    </w:p>
    <w:p w14:paraId="3DB4AD4E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4 se la copertura è installata prima del 1980</w:t>
      </w:r>
    </w:p>
    <w:p w14:paraId="5769644C" w14:textId="77777777" w:rsidR="00535095" w:rsidRDefault="00535095">
      <w:pPr>
        <w:pStyle w:val="Corpodeltesto3"/>
      </w:pPr>
      <w:r>
        <w:t>Nel caso sia difficoltoso risalire alla vetustà della copertura in cemento amianto si farà riferimento alla data di realizzazione dell’edificio.</w:t>
      </w:r>
    </w:p>
    <w:p w14:paraId="0139A515" w14:textId="77777777" w:rsidR="00535095" w:rsidRDefault="00535095">
      <w:pPr>
        <w:autoSpaceDE w:val="0"/>
        <w:jc w:val="both"/>
        <w:rPr>
          <w:rFonts w:ascii="Tahoma" w:eastAsia="Tahoma" w:hAnsi="Tahoma"/>
          <w:b/>
          <w:bCs/>
          <w:sz w:val="20"/>
          <w:szCs w:val="20"/>
        </w:rPr>
      </w:pPr>
    </w:p>
    <w:p w14:paraId="1B7ED892" w14:textId="77777777" w:rsidR="00535095" w:rsidRDefault="0053509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6" w:color="auto"/>
        </w:pBdr>
        <w:autoSpaceDE w:val="0"/>
        <w:ind w:left="1985" w:right="2549"/>
        <w:jc w:val="center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I.D. = (A+B+C+D+E+F+G+H ) x I (vetustà)</w:t>
      </w:r>
    </w:p>
    <w:p w14:paraId="6C470685" w14:textId="77777777" w:rsidR="00535095" w:rsidRDefault="00535095">
      <w:pPr>
        <w:autoSpaceDE w:val="0"/>
        <w:jc w:val="both"/>
        <w:rPr>
          <w:rFonts w:ascii="Tahoma" w:eastAsia="Tahoma" w:hAnsi="Tahoma"/>
          <w:b/>
          <w:bCs/>
          <w:sz w:val="20"/>
          <w:szCs w:val="20"/>
        </w:rPr>
      </w:pPr>
    </w:p>
    <w:p w14:paraId="7BD20B78" w14:textId="77777777" w:rsidR="00535095" w:rsidRDefault="00535095">
      <w:pPr>
        <w:autoSpaceDE w:val="0"/>
        <w:jc w:val="both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>RISULTATO:</w:t>
      </w:r>
    </w:p>
    <w:p w14:paraId="440EF973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 xml:space="preserve">1) I.D INFERIORE O UGUALE A 25: </w:t>
      </w:r>
      <w:r>
        <w:rPr>
          <w:rFonts w:ascii="Tahoma" w:eastAsia="Tahoma" w:hAnsi="Tahoma"/>
          <w:sz w:val="20"/>
          <w:szCs w:val="20"/>
        </w:rPr>
        <w:t>Nessun intervento di bonifica. E’ prevista la rivalutazione dell’indice di degrado con frequenza biennale;</w:t>
      </w:r>
    </w:p>
    <w:p w14:paraId="0D847830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 xml:space="preserve">2) I.D. COMPRESO TRA 25 e 44: </w:t>
      </w:r>
      <w:r>
        <w:rPr>
          <w:rFonts w:ascii="Tahoma" w:eastAsia="Tahoma" w:hAnsi="Tahoma"/>
          <w:sz w:val="20"/>
          <w:szCs w:val="20"/>
        </w:rPr>
        <w:t>Esecuzione della bonifica* entro 3 anni ;</w:t>
      </w:r>
    </w:p>
    <w:p w14:paraId="2E0380E3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b/>
          <w:bCs/>
          <w:sz w:val="20"/>
          <w:szCs w:val="20"/>
        </w:rPr>
        <w:t xml:space="preserve">3) I.D. UGUALE O MAGGIORE A 45 : </w:t>
      </w:r>
      <w:r>
        <w:rPr>
          <w:rFonts w:ascii="Tahoma" w:eastAsia="Tahoma" w:hAnsi="Tahoma"/>
          <w:sz w:val="20"/>
          <w:szCs w:val="20"/>
        </w:rPr>
        <w:t>Rimozione della copertura entro i successivi 12 mesi ;</w:t>
      </w:r>
    </w:p>
    <w:p w14:paraId="577447D3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</w:p>
    <w:p w14:paraId="22F44ECF" w14:textId="77777777" w:rsidR="00535095" w:rsidRDefault="00535095">
      <w:pPr>
        <w:autoSpaceDE w:val="0"/>
        <w:rPr>
          <w:rFonts w:ascii="Tahoma" w:eastAsia="Tahoma" w:hAnsi="Tahoma"/>
          <w:sz w:val="20"/>
          <w:szCs w:val="20"/>
        </w:rPr>
      </w:pPr>
    </w:p>
    <w:p w14:paraId="118016EC" w14:textId="77777777" w:rsidR="00535095" w:rsidRDefault="00535095">
      <w:pPr>
        <w:autoSpaceDE w:val="0"/>
        <w:rPr>
          <w:rFonts w:ascii="Tahoma" w:eastAsia="Tahoma" w:hAnsi="Tahoma"/>
          <w:b/>
          <w:bCs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 xml:space="preserve">* </w:t>
      </w:r>
      <w:r>
        <w:rPr>
          <w:rFonts w:ascii="Tahoma" w:eastAsia="Tahoma" w:hAnsi="Tahoma"/>
          <w:b/>
          <w:bCs/>
          <w:sz w:val="20"/>
          <w:szCs w:val="20"/>
        </w:rPr>
        <w:t>LEGENDA:</w:t>
      </w:r>
    </w:p>
    <w:p w14:paraId="79FC064A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 xml:space="preserve">I metodi di </w:t>
      </w:r>
      <w:r>
        <w:rPr>
          <w:rFonts w:ascii="Tahoma" w:eastAsia="Tahoma" w:hAnsi="Tahoma"/>
          <w:b/>
          <w:bCs/>
          <w:sz w:val="20"/>
          <w:szCs w:val="20"/>
        </w:rPr>
        <w:t xml:space="preserve">bonifica </w:t>
      </w:r>
      <w:r>
        <w:rPr>
          <w:rFonts w:ascii="Tahoma" w:eastAsia="Tahoma" w:hAnsi="Tahoma"/>
          <w:sz w:val="20"/>
          <w:szCs w:val="20"/>
        </w:rPr>
        <w:t xml:space="preserve">previsti dalla normativa sono la </w:t>
      </w:r>
      <w:r>
        <w:rPr>
          <w:rFonts w:ascii="Tahoma" w:eastAsia="Tahoma" w:hAnsi="Tahoma"/>
          <w:b/>
          <w:bCs/>
          <w:sz w:val="20"/>
          <w:szCs w:val="20"/>
        </w:rPr>
        <w:t>sovracopertura, l’incapsulamento e la rimozione</w:t>
      </w:r>
      <w:r>
        <w:rPr>
          <w:rFonts w:ascii="Tahoma" w:eastAsia="Tahoma" w:hAnsi="Tahoma"/>
          <w:sz w:val="20"/>
          <w:szCs w:val="20"/>
        </w:rPr>
        <w:t>.</w:t>
      </w:r>
    </w:p>
    <w:p w14:paraId="548A4BAE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</w:p>
    <w:p w14:paraId="5886235B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 xml:space="preserve">La </w:t>
      </w:r>
      <w:r>
        <w:rPr>
          <w:rFonts w:ascii="Tahoma" w:eastAsia="Tahoma" w:hAnsi="Tahoma"/>
          <w:b/>
          <w:bCs/>
          <w:sz w:val="20"/>
          <w:szCs w:val="20"/>
        </w:rPr>
        <w:t>sopracopertura</w:t>
      </w:r>
      <w:r>
        <w:rPr>
          <w:rFonts w:ascii="Tahoma" w:eastAsia="Tahoma" w:hAnsi="Tahoma"/>
          <w:sz w:val="20"/>
          <w:szCs w:val="20"/>
        </w:rPr>
        <w:t xml:space="preserve"> consiste in un intervento di confinamento che si ottiene installando una nuova copertura al di sopra di quella in amianto-cemento che viene lasciata in sede quando la struttura portante sia idonea a sopportare un carico permanente aggiuntivo. Per ricorrere a tale tipo di bonifica, il costruttore o il committente devono fornire il calcolo delle portate dei sovraccarichi accidentali previsti dalla nuova struttura.</w:t>
      </w:r>
    </w:p>
    <w:p w14:paraId="2D074F66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</w:p>
    <w:p w14:paraId="0C7DC0C4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L’</w:t>
      </w:r>
      <w:r>
        <w:rPr>
          <w:rFonts w:ascii="Tahoma" w:eastAsia="Tahoma" w:hAnsi="Tahoma"/>
          <w:b/>
          <w:bCs/>
          <w:sz w:val="20"/>
          <w:szCs w:val="20"/>
        </w:rPr>
        <w:t>incapsulamento</w:t>
      </w:r>
      <w:r>
        <w:rPr>
          <w:rFonts w:ascii="Tahoma" w:eastAsia="Tahoma" w:hAnsi="Tahoma"/>
          <w:sz w:val="20"/>
          <w:szCs w:val="20"/>
        </w:rPr>
        <w:t xml:space="preserve"> prevede l’utilizzo di prodotti ricoprenti la copertura in cemento-amianto;</w:t>
      </w:r>
    </w:p>
    <w:p w14:paraId="4F58E855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>preliminarmente all’applicazione di tali prodotti si rende necessario un trattamento della superficie del materiale, al fine di pulirla e garantire l’adesione del prodotto incapsulante. Il trattamento finale dovrà essere certificato dall’ impresa esecutrice. Tale intervento non desime il committente dall’obbligo di verificarne lo stato di conservazione.</w:t>
      </w:r>
    </w:p>
    <w:p w14:paraId="20D5E983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</w:p>
    <w:p w14:paraId="496BF7E4" w14:textId="77777777" w:rsidR="00535095" w:rsidRDefault="00535095">
      <w:pPr>
        <w:autoSpaceDE w:val="0"/>
        <w:jc w:val="both"/>
        <w:rPr>
          <w:rFonts w:ascii="Tahoma" w:eastAsia="Tahoma" w:hAnsi="Tahoma"/>
          <w:sz w:val="20"/>
          <w:szCs w:val="20"/>
        </w:rPr>
      </w:pPr>
      <w:r>
        <w:rPr>
          <w:rFonts w:ascii="Tahoma" w:eastAsia="Tahoma" w:hAnsi="Tahoma"/>
          <w:sz w:val="20"/>
          <w:szCs w:val="20"/>
        </w:rPr>
        <w:t xml:space="preserve">La </w:t>
      </w:r>
      <w:r>
        <w:rPr>
          <w:rFonts w:ascii="Tahoma" w:eastAsia="Tahoma" w:hAnsi="Tahoma"/>
          <w:b/>
          <w:bCs/>
          <w:sz w:val="20"/>
          <w:szCs w:val="20"/>
        </w:rPr>
        <w:t xml:space="preserve">rimozione </w:t>
      </w:r>
      <w:r>
        <w:rPr>
          <w:rFonts w:ascii="Tahoma" w:eastAsia="Tahoma" w:hAnsi="Tahoma"/>
          <w:sz w:val="20"/>
          <w:szCs w:val="20"/>
        </w:rPr>
        <w:t>prevede un intervento di asportazione totale della copertura in cemento amianto e sua sostituzione con altra copertura.</w:t>
      </w:r>
    </w:p>
    <w:sectPr w:rsidR="00535095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36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6178938">
    <w:abstractNumId w:val="0"/>
  </w:num>
  <w:num w:numId="2" w16cid:durableId="88703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2AD1"/>
    <w:rsid w:val="00535095"/>
    <w:rsid w:val="006A219E"/>
    <w:rsid w:val="00EB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7FE7E1"/>
  <w15:chartTrackingRefBased/>
  <w15:docId w15:val="{E9AE008D-F6FA-4122-A9F7-4DF0A992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rial Unicode MS"/>
      <w:color w:val="000000"/>
      <w:sz w:val="24"/>
      <w:szCs w:val="24"/>
      <w:lang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paragraph" w:styleId="Corpodeltesto">
    <w:name w:val="Corpo del testo"/>
    <w:basedOn w:val="Normale"/>
    <w:semiHidden/>
    <w:pPr>
      <w:autoSpaceDE w:val="0"/>
      <w:jc w:val="both"/>
    </w:pPr>
    <w:rPr>
      <w:rFonts w:ascii="Tahoma" w:eastAsia="Tahoma" w:hAnsi="Tahoma"/>
      <w:sz w:val="20"/>
      <w:szCs w:val="20"/>
    </w:rPr>
  </w:style>
  <w:style w:type="paragraph" w:styleId="Titolo">
    <w:name w:val="Title"/>
    <w:basedOn w:val="Normale"/>
    <w:qFormat/>
    <w:pPr>
      <w:autoSpaceDE w:val="0"/>
      <w:jc w:val="center"/>
    </w:pPr>
    <w:rPr>
      <w:rFonts w:eastAsia="Times New Roman"/>
      <w:b/>
      <w:bCs/>
    </w:rPr>
  </w:style>
  <w:style w:type="paragraph" w:styleId="Corpodeltesto2">
    <w:name w:val="Body Text 2"/>
    <w:basedOn w:val="Normale"/>
    <w:semiHidden/>
    <w:pPr>
      <w:autoSpaceDE w:val="0"/>
      <w:jc w:val="both"/>
    </w:pPr>
    <w:rPr>
      <w:rFonts w:ascii="Tahoma" w:eastAsia="Tahoma" w:hAnsi="Tahoma"/>
      <w:b/>
      <w:bCs/>
      <w:sz w:val="20"/>
      <w:szCs w:val="20"/>
    </w:rPr>
  </w:style>
  <w:style w:type="paragraph" w:styleId="Corpodeltesto3">
    <w:name w:val="Body Text 3"/>
    <w:basedOn w:val="Normale"/>
    <w:semiHidden/>
    <w:pPr>
      <w:autoSpaceDE w:val="0"/>
      <w:jc w:val="both"/>
    </w:pPr>
    <w:rPr>
      <w:rFonts w:ascii="Tahoma" w:eastAsia="Tahoma" w:hAnsi="Tahoma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3BD8266B8823468E45462B4AAF025E" ma:contentTypeVersion="15" ma:contentTypeDescription="Creare un nuovo documento." ma:contentTypeScope="" ma:versionID="484d77c7607fdc66ffe884ba58be90a6">
  <xsd:schema xmlns:xsd="http://www.w3.org/2001/XMLSchema" xmlns:xs="http://www.w3.org/2001/XMLSchema" xmlns:p="http://schemas.microsoft.com/office/2006/metadata/properties" xmlns:ns2="f79c1bbe-a590-40a7-9d9a-a76648ba237b" xmlns:ns3="89640c87-6e8f-47fb-a57f-41e2401b8c7f" targetNamespace="http://schemas.microsoft.com/office/2006/metadata/properties" ma:root="true" ma:fieldsID="dd9ed89d4be1cd5c984eb1f6ee7611b1" ns2:_="" ns3:_="">
    <xsd:import namespace="f79c1bbe-a590-40a7-9d9a-a76648ba237b"/>
    <xsd:import namespace="89640c87-6e8f-47fb-a57f-41e2401b8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1bbe-a590-40a7-9d9a-a76648ba23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53a4f5a-e557-4737-ae5c-88dc315c6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40c87-6e8f-47fb-a57f-41e2401b8c7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9788436-d0a3-4c7f-bed6-3f91f5633781}" ma:internalName="TaxCatchAll" ma:showField="CatchAllData" ma:web="89640c87-6e8f-47fb-a57f-41e2401b8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640c87-6e8f-47fb-a57f-41e2401b8c7f" xsi:nil="true"/>
    <lcf76f155ced4ddcb4097134ff3c332f xmlns="f79c1bbe-a590-40a7-9d9a-a76648ba23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F8C477-352E-4E13-B269-42DB8282A448}"/>
</file>

<file path=customXml/itemProps2.xml><?xml version="1.0" encoding="utf-8"?>
<ds:datastoreItem xmlns:ds="http://schemas.openxmlformats.org/officeDocument/2006/customXml" ds:itemID="{02E1494A-4277-4088-AF80-C6085E5295AA}"/>
</file>

<file path=customXml/itemProps3.xml><?xml version="1.0" encoding="utf-8"?>
<ds:datastoreItem xmlns:ds="http://schemas.openxmlformats.org/officeDocument/2006/customXml" ds:itemID="{F431AD4B-C660-40AA-AE73-F29710B367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</dc:creator>
  <cp:keywords/>
  <dc:description/>
  <cp:lastModifiedBy>Stefano Morandi</cp:lastModifiedBy>
  <cp:revision>2</cp:revision>
  <cp:lastPrinted>2112-12-31T23:00:00Z</cp:lastPrinted>
  <dcterms:created xsi:type="dcterms:W3CDTF">2026-09-07T15:23:00Z</dcterms:created>
  <dcterms:modified xsi:type="dcterms:W3CDTF">2026-09-07T15:23:00Z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0x010100143BD8266B8823468E45462B4AAF025E</vt:lpwstr>
  </property>
</Properties>
</file>