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C4" w:rsidRDefault="000C52C4" w:rsidP="00BB4D85">
      <w:pPr>
        <w:pStyle w:val="Intestazione"/>
        <w:jc w:val="center"/>
        <w:rPr>
          <w:rFonts w:ascii="Times New Roman" w:hAnsi="Times New Roman"/>
          <w:b/>
          <w:sz w:val="24"/>
          <w:szCs w:val="24"/>
        </w:rPr>
      </w:pPr>
    </w:p>
    <w:p w:rsidR="00BB4D85" w:rsidRDefault="00BB4D85" w:rsidP="00BB4D85">
      <w:pPr>
        <w:pStyle w:val="Intestazione"/>
        <w:jc w:val="center"/>
        <w:rPr>
          <w:rFonts w:ascii="Times New Roman" w:hAnsi="Times New Roman"/>
          <w:b/>
          <w:sz w:val="24"/>
          <w:szCs w:val="24"/>
        </w:rPr>
      </w:pPr>
      <w:r w:rsidRPr="00BB4D85">
        <w:rPr>
          <w:rFonts w:ascii="Times New Roman" w:hAnsi="Times New Roman"/>
          <w:b/>
          <w:sz w:val="24"/>
          <w:szCs w:val="24"/>
        </w:rPr>
        <w:t>DICHIARAZIONE DI EQUIVALENZA TUTELE CCNL</w:t>
      </w:r>
    </w:p>
    <w:p w:rsidR="00CF4892" w:rsidRDefault="00CF4892" w:rsidP="00BB4D85">
      <w:pPr>
        <w:pStyle w:val="Intestazione"/>
        <w:jc w:val="center"/>
        <w:rPr>
          <w:rFonts w:ascii="Times New Roman" w:hAnsi="Times New Roman"/>
          <w:b/>
          <w:sz w:val="24"/>
          <w:szCs w:val="24"/>
        </w:rPr>
      </w:pPr>
    </w:p>
    <w:p w:rsidR="000B193B" w:rsidRDefault="000B193B" w:rsidP="00CF4892">
      <w:pPr>
        <w:pStyle w:val="Intestazione"/>
        <w:jc w:val="both"/>
        <w:rPr>
          <w:rFonts w:ascii="Times New Roman" w:hAnsi="Times New Roman"/>
          <w:b/>
          <w:i/>
          <w:iCs/>
          <w:sz w:val="24"/>
          <w:szCs w:val="24"/>
        </w:rPr>
      </w:pPr>
      <w:r w:rsidRPr="00CF4892">
        <w:rPr>
          <w:rFonts w:ascii="Times New Roman" w:hAnsi="Times New Roman"/>
          <w:b/>
          <w:sz w:val="24"/>
          <w:szCs w:val="24"/>
        </w:rPr>
        <w:t>(</w:t>
      </w:r>
      <w:r w:rsidRPr="00637FD6">
        <w:rPr>
          <w:rFonts w:ascii="Times New Roman" w:hAnsi="Times New Roman"/>
          <w:b/>
          <w:sz w:val="24"/>
          <w:szCs w:val="24"/>
        </w:rPr>
        <w:t>da inserire nella busta tecnica</w:t>
      </w:r>
      <w:r w:rsidR="00637FD6" w:rsidRPr="00637FD6">
        <w:rPr>
          <w:rStyle w:val="Rimandonotaapidipagina"/>
          <w:rFonts w:ascii="Times New Roman" w:hAnsi="Times New Roman"/>
          <w:b/>
          <w:sz w:val="24"/>
          <w:szCs w:val="24"/>
        </w:rPr>
        <w:footnoteReference w:id="1"/>
      </w:r>
      <w:r w:rsidRPr="00637FD6">
        <w:rPr>
          <w:rFonts w:ascii="Times New Roman" w:hAnsi="Times New Roman"/>
          <w:b/>
          <w:i/>
          <w:iCs/>
          <w:sz w:val="24"/>
          <w:szCs w:val="24"/>
        </w:rPr>
        <w:t>)</w:t>
      </w:r>
    </w:p>
    <w:p w:rsidR="005B4892" w:rsidRPr="00CF4892" w:rsidRDefault="005B4892" w:rsidP="00CF4892">
      <w:pPr>
        <w:pStyle w:val="Intestazione"/>
        <w:jc w:val="both"/>
        <w:rPr>
          <w:rFonts w:ascii="Times New Roman" w:hAnsi="Times New Roman"/>
          <w:b/>
          <w:sz w:val="24"/>
          <w:szCs w:val="24"/>
        </w:rPr>
      </w:pPr>
    </w:p>
    <w:p w:rsidR="002B4808" w:rsidRDefault="002B4808" w:rsidP="002B4808">
      <w:pPr>
        <w:widowControl w:val="0"/>
        <w:spacing w:line="23" w:lineRule="atLeast"/>
        <w:jc w:val="both"/>
        <w:rPr>
          <w:rFonts w:ascii="Arial" w:hAnsi="Arial" w:cs="Arial"/>
          <w:b/>
          <w:color w:val="000000"/>
        </w:rPr>
      </w:pPr>
      <w:r>
        <w:rPr>
          <w:rFonts w:ascii="Arial" w:hAnsi="Arial" w:cs="Arial"/>
          <w:b/>
          <w:color w:val="000000"/>
        </w:rPr>
        <w:t xml:space="preserve">PROCEDURA APERTA TELEMATICA CON INVERSIONE PROCEDIMENTALE  PER L’AFFIDAMENTO DEL SERVIZIO DI RISTORAZIONE SCOLASTICA E ALTRI SERVIZI COLLEGATI, PER IL COMUNE DI SAN ROCCO AL PORTO (LO). </w:t>
      </w:r>
      <w:r w:rsidR="000F0641">
        <w:rPr>
          <w:rFonts w:ascii="Arial" w:hAnsi="Arial" w:cs="Arial"/>
          <w:b/>
          <w:color w:val="000000"/>
        </w:rPr>
        <w:t>CIG BB97E7D8A2</w:t>
      </w:r>
    </w:p>
    <w:p w:rsidR="002B4808" w:rsidRDefault="002B4808" w:rsidP="002B4808">
      <w:pPr>
        <w:spacing w:before="120" w:line="480" w:lineRule="auto"/>
        <w:jc w:val="both"/>
        <w:rPr>
          <w:rFonts w:ascii="Arial" w:hAnsi="Arial" w:cs="Arial"/>
          <w:sz w:val="20"/>
          <w:szCs w:val="20"/>
        </w:rPr>
      </w:pPr>
    </w:p>
    <w:p w:rsidR="00635FC3" w:rsidRPr="00BB4D85" w:rsidRDefault="00635FC3" w:rsidP="00635FC3">
      <w:pPr>
        <w:jc w:val="both"/>
        <w:rPr>
          <w:rFonts w:ascii="Times New Roman" w:hAnsi="Times New Roman"/>
        </w:rPr>
      </w:pPr>
      <w:r w:rsidRPr="00BB4D85">
        <w:rPr>
          <w:rFonts w:ascii="Times New Roman" w:hAnsi="Times New Roman"/>
        </w:rPr>
        <w:t>Il</w:t>
      </w:r>
      <w:r w:rsidR="00BB4D85" w:rsidRPr="00BB4D85">
        <w:rPr>
          <w:rFonts w:ascii="Times New Roman" w:hAnsi="Times New Roman"/>
        </w:rPr>
        <w:t>/La</w:t>
      </w:r>
      <w:r w:rsidRPr="00BB4D85">
        <w:rPr>
          <w:rFonts w:ascii="Times New Roman" w:hAnsi="Times New Roman"/>
        </w:rPr>
        <w:t xml:space="preserve"> sottos</w:t>
      </w:r>
      <w:r w:rsidR="00507EB3">
        <w:rPr>
          <w:rFonts w:ascii="Times New Roman" w:hAnsi="Times New Roman"/>
        </w:rPr>
        <w:t>critto/a________________________________</w:t>
      </w:r>
      <w:r w:rsidRPr="00BB4D85">
        <w:rPr>
          <w:rFonts w:ascii="Times New Roman" w:hAnsi="Times New Roman"/>
        </w:rPr>
        <w:t xml:space="preserve"> in qualità di (carica sociale)________________________ della società _________________________________________ </w:t>
      </w:r>
      <w:r w:rsidR="00BB4D85" w:rsidRPr="00BB4D85">
        <w:rPr>
          <w:rFonts w:ascii="Times New Roman" w:hAnsi="Times New Roman"/>
        </w:rPr>
        <w:t xml:space="preserve">Codice Fiscale _________________________________ Partita IVA _______________________________________, con </w:t>
      </w:r>
      <w:r w:rsidRPr="00BB4D85">
        <w:rPr>
          <w:rFonts w:ascii="Times New Roman" w:hAnsi="Times New Roman"/>
        </w:rPr>
        <w:t xml:space="preserve">sede legale _____________________________________ </w:t>
      </w:r>
      <w:r w:rsidR="00BB4D85" w:rsidRPr="00BB4D85">
        <w:rPr>
          <w:rFonts w:ascii="Times New Roman" w:hAnsi="Times New Roman"/>
        </w:rPr>
        <w:t xml:space="preserve">e </w:t>
      </w:r>
      <w:r w:rsidRPr="00BB4D85">
        <w:rPr>
          <w:rFonts w:ascii="Times New Roman" w:hAnsi="Times New Roman"/>
        </w:rPr>
        <w:t xml:space="preserve">sede operativa ____________________________________ n. telefono ________________________________________ </w:t>
      </w:r>
      <w:r w:rsidR="00BB4D85" w:rsidRPr="00BB4D85">
        <w:rPr>
          <w:rFonts w:ascii="Times New Roman" w:hAnsi="Times New Roman"/>
        </w:rPr>
        <w:t>PEC</w:t>
      </w:r>
      <w:r w:rsidRPr="00BB4D85">
        <w:rPr>
          <w:rFonts w:ascii="Times New Roman" w:hAnsi="Times New Roman"/>
        </w:rPr>
        <w:t xml:space="preserve">  ________________________________________</w:t>
      </w:r>
    </w:p>
    <w:p w:rsidR="001B2A3F" w:rsidRPr="001B2A3F" w:rsidRDefault="001B2A3F" w:rsidP="00635FC3">
      <w:pPr>
        <w:jc w:val="center"/>
        <w:rPr>
          <w:rFonts w:ascii="Times New Roman" w:hAnsi="Times New Roman"/>
          <w:b/>
          <w:sz w:val="14"/>
          <w:szCs w:val="14"/>
        </w:rPr>
      </w:pPr>
    </w:p>
    <w:p w:rsidR="00D977A4" w:rsidRPr="00BB4D85" w:rsidRDefault="008A451A" w:rsidP="00635FC3">
      <w:pPr>
        <w:jc w:val="center"/>
        <w:rPr>
          <w:rFonts w:ascii="Times New Roman" w:hAnsi="Times New Roman"/>
          <w:b/>
        </w:rPr>
      </w:pPr>
      <w:r w:rsidRPr="00BB4D85">
        <w:rPr>
          <w:rFonts w:ascii="Times New Roman" w:hAnsi="Times New Roman"/>
          <w:b/>
        </w:rPr>
        <w:t>DICHIARA</w:t>
      </w:r>
    </w:p>
    <w:p w:rsidR="008A451A" w:rsidRDefault="00472812" w:rsidP="009E1EF1">
      <w:pPr>
        <w:numPr>
          <w:ilvl w:val="0"/>
          <w:numId w:val="2"/>
        </w:numPr>
        <w:ind w:left="284"/>
        <w:jc w:val="both"/>
        <w:rPr>
          <w:rFonts w:ascii="Times New Roman" w:hAnsi="Times New Roman"/>
          <w:b/>
        </w:rPr>
      </w:pPr>
      <w:r w:rsidRPr="009E1EF1">
        <w:rPr>
          <w:rFonts w:ascii="Times New Roman" w:hAnsi="Times New Roman"/>
          <w:b/>
        </w:rPr>
        <w:t xml:space="preserve">l’equivalenza delle </w:t>
      </w:r>
      <w:r w:rsidRPr="001B5A30">
        <w:rPr>
          <w:rFonts w:ascii="Times New Roman" w:hAnsi="Times New Roman"/>
          <w:b/>
          <w:u w:val="single"/>
        </w:rPr>
        <w:t>tutele</w:t>
      </w:r>
      <w:r w:rsidR="00D977A4" w:rsidRPr="001B5A30">
        <w:rPr>
          <w:rFonts w:ascii="Times New Roman" w:hAnsi="Times New Roman"/>
          <w:b/>
          <w:u w:val="single"/>
        </w:rPr>
        <w:t xml:space="preserve"> normative</w:t>
      </w:r>
      <w:r w:rsidR="001B2A3F">
        <w:rPr>
          <w:rFonts w:ascii="Times New Roman" w:hAnsi="Times New Roman"/>
          <w:b/>
        </w:rPr>
        <w:t xml:space="preserve"> </w:t>
      </w:r>
      <w:r w:rsidR="00D977A4" w:rsidRPr="009E1EF1">
        <w:rPr>
          <w:rFonts w:ascii="Times New Roman" w:hAnsi="Times New Roman"/>
          <w:b/>
        </w:rPr>
        <w:t xml:space="preserve">fra il CCNL _______________ che si intende applicare all’appalto </w:t>
      </w:r>
      <w:r w:rsidR="00C2194E" w:rsidRPr="009E1EF1">
        <w:rPr>
          <w:rFonts w:ascii="Times New Roman" w:hAnsi="Times New Roman"/>
          <w:b/>
        </w:rPr>
        <w:t xml:space="preserve">e il </w:t>
      </w:r>
      <w:r w:rsidR="000A71BA" w:rsidRPr="009E1EF1">
        <w:rPr>
          <w:rFonts w:ascii="Times New Roman" w:hAnsi="Times New Roman"/>
          <w:b/>
        </w:rPr>
        <w:t xml:space="preserve">CCNL </w:t>
      </w:r>
      <w:r w:rsidR="009E1EF1">
        <w:rPr>
          <w:rFonts w:ascii="Times New Roman" w:hAnsi="Times New Roman"/>
          <w:b/>
        </w:rPr>
        <w:t>_________________________</w:t>
      </w:r>
      <w:r w:rsidR="00637FD6">
        <w:rPr>
          <w:rFonts w:ascii="Times New Roman" w:hAnsi="Times New Roman"/>
          <w:b/>
        </w:rPr>
        <w:t>,</w:t>
      </w:r>
      <w:r w:rsidR="00D977A4" w:rsidRPr="009E1EF1">
        <w:rPr>
          <w:rFonts w:ascii="Times New Roman" w:hAnsi="Times New Roman"/>
          <w:b/>
        </w:rPr>
        <w:t xml:space="preserve"> individuato dalla Stazione appaltante</w:t>
      </w:r>
      <w:r w:rsidR="009E1EF1">
        <w:rPr>
          <w:rFonts w:ascii="Times New Roman" w:hAnsi="Times New Roman"/>
          <w:b/>
        </w:rPr>
        <w:t>,</w:t>
      </w:r>
      <w:r w:rsidR="00D977A4" w:rsidRPr="009E1EF1">
        <w:rPr>
          <w:rFonts w:ascii="Times New Roman" w:hAnsi="Times New Roman"/>
          <w:b/>
        </w:rPr>
        <w:t xml:space="preserve"> </w:t>
      </w:r>
      <w:r w:rsidRPr="009E1EF1">
        <w:rPr>
          <w:rFonts w:ascii="Times New Roman" w:hAnsi="Times New Roman"/>
          <w:b/>
        </w:rPr>
        <w:t>rispetto a</w:t>
      </w:r>
      <w:r w:rsidR="00D977A4" w:rsidRPr="009E1EF1">
        <w:rPr>
          <w:rFonts w:ascii="Times New Roman" w:hAnsi="Times New Roman"/>
          <w:b/>
        </w:rPr>
        <w:t>i seguenti parametri</w:t>
      </w:r>
      <w:r w:rsidRPr="009E1EF1">
        <w:rPr>
          <w:rFonts w:ascii="Times New Roman" w:hAnsi="Times New Roman"/>
          <w:b/>
        </w:rPr>
        <w:t>:</w:t>
      </w:r>
    </w:p>
    <w:p w:rsidR="00DD3427" w:rsidRPr="00DD3427" w:rsidRDefault="00DD3427" w:rsidP="00DD3427">
      <w:pPr>
        <w:ind w:left="284"/>
        <w:jc w:val="both"/>
        <w:rPr>
          <w:rFonts w:ascii="Times New Roman" w:hAnsi="Times New Roman"/>
          <w:b/>
          <w:sz w:val="16"/>
          <w:szCs w:val="16"/>
        </w:rPr>
      </w:pPr>
    </w:p>
    <w:p w:rsidR="00472812" w:rsidRPr="00BB4D85" w:rsidRDefault="00472812" w:rsidP="00635FC3">
      <w:pPr>
        <w:jc w:val="center"/>
        <w:rPr>
          <w:rFonts w:ascii="Times New Roman" w:hAnsi="Times New Roman"/>
          <w:b/>
          <w:i/>
        </w:rPr>
      </w:pPr>
      <w:r w:rsidRPr="00BB4D85">
        <w:rPr>
          <w:rFonts w:ascii="Times New Roman" w:hAnsi="Times New Roman"/>
          <w:b/>
          <w:i/>
        </w:rPr>
        <w:t>(barrare ove vi è equivalenza)</w:t>
      </w:r>
    </w:p>
    <w:p w:rsidR="00CF4892" w:rsidRDefault="00472812" w:rsidP="00CF4892">
      <w:pPr>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la disciplina concernente il lavoro supplementare e le clausole elastiche nel part-time</w:t>
      </w:r>
      <w:r w:rsidR="00CF4892" w:rsidRPr="00CF4892">
        <w:rPr>
          <w:rFonts w:ascii="Times New Roman" w:hAnsi="Times New Roman"/>
        </w:rPr>
        <w:t xml:space="preserve"> </w:t>
      </w:r>
    </w:p>
    <w:tbl>
      <w:tblPr>
        <w:tblStyle w:val="Grigliatabella"/>
        <w:tblW w:w="0" w:type="auto"/>
        <w:tblInd w:w="284" w:type="dxa"/>
        <w:tblLook w:val="04A0"/>
      </w:tblPr>
      <w:tblGrid>
        <w:gridCol w:w="4695"/>
        <w:gridCol w:w="4649"/>
      </w:tblGrid>
      <w:tr w:rsidR="00CF4892" w:rsidTr="00CF4892">
        <w:tc>
          <w:tcPr>
            <w:tcW w:w="4695" w:type="dxa"/>
          </w:tcPr>
          <w:p w:rsidR="00CF4892" w:rsidRPr="009E1EF1" w:rsidRDefault="00CF4892" w:rsidP="00CF4892">
            <w:pPr>
              <w:jc w:val="both"/>
              <w:rPr>
                <w:rFonts w:ascii="Times New Roman" w:hAnsi="Times New Roman"/>
              </w:rPr>
            </w:pPr>
            <w:r w:rsidRPr="009E1EF1">
              <w:rPr>
                <w:rFonts w:ascii="Times New Roman" w:hAnsi="Times New Roman"/>
              </w:rPr>
              <w:t>Indica i seguenti articoli del CCNL applicato:</w:t>
            </w:r>
          </w:p>
          <w:p w:rsidR="00CF4892" w:rsidRDefault="00CF4892" w:rsidP="00B517D4">
            <w:pPr>
              <w:jc w:val="both"/>
              <w:rPr>
                <w:rFonts w:ascii="Times New Roman" w:hAnsi="Times New Roman"/>
              </w:rPr>
            </w:pPr>
          </w:p>
        </w:tc>
        <w:tc>
          <w:tcPr>
            <w:tcW w:w="4649" w:type="dxa"/>
          </w:tcPr>
          <w:p w:rsidR="00CF4892" w:rsidRPr="00903343" w:rsidRDefault="00CF4892" w:rsidP="00CF4892">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CF4892">
            <w:pPr>
              <w:rPr>
                <w:rFonts w:ascii="Times New Roman" w:hAnsi="Times New Roman"/>
              </w:rPr>
            </w:pPr>
          </w:p>
        </w:tc>
      </w:tr>
      <w:tr w:rsidR="00CF4892" w:rsidTr="00CF4892">
        <w:tc>
          <w:tcPr>
            <w:tcW w:w="4695" w:type="dxa"/>
          </w:tcPr>
          <w:p w:rsidR="00CF4892" w:rsidRDefault="00CF4892" w:rsidP="00B517D4">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CF4892">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B517D4">
            <w:pPr>
              <w:jc w:val="both"/>
              <w:rPr>
                <w:rFonts w:ascii="Times New Roman" w:hAnsi="Times New Roman"/>
              </w:rPr>
            </w:pPr>
          </w:p>
        </w:tc>
      </w:tr>
    </w:tbl>
    <w:p w:rsidR="008A451A" w:rsidRPr="00DD3427" w:rsidRDefault="008A451A" w:rsidP="00B517D4">
      <w:pPr>
        <w:ind w:left="284"/>
        <w:jc w:val="both"/>
        <w:rPr>
          <w:rFonts w:ascii="Times New Roman" w:hAnsi="Times New Roman"/>
          <w:sz w:val="16"/>
          <w:szCs w:val="16"/>
        </w:rPr>
      </w:pPr>
    </w:p>
    <w:p w:rsidR="008A451A" w:rsidRDefault="00472812" w:rsidP="00CF4892">
      <w:pPr>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161800"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Default="00CF4892" w:rsidP="00903343">
            <w:pPr>
              <w:jc w:val="both"/>
              <w:rPr>
                <w:rFonts w:ascii="Times New Roman" w:hAnsi="Times New Roman"/>
              </w:rPr>
            </w:pPr>
          </w:p>
        </w:tc>
      </w:tr>
    </w:tbl>
    <w:p w:rsidR="009E1EF1" w:rsidRDefault="009E1EF1" w:rsidP="009E1EF1">
      <w:pPr>
        <w:jc w:val="both"/>
        <w:rPr>
          <w:rFonts w:ascii="Times New Roman" w:hAnsi="Times New Roman"/>
        </w:rPr>
      </w:pPr>
    </w:p>
    <w:p w:rsidR="008A451A" w:rsidRDefault="009E1EF1" w:rsidP="00B517D4">
      <w:pPr>
        <w:ind w:left="284"/>
        <w:jc w:val="both"/>
        <w:rPr>
          <w:rFonts w:ascii="Times New Roman" w:hAnsi="Times New Roman"/>
        </w:rPr>
      </w:pPr>
      <w:r w:rsidRPr="00BB4D85">
        <w:rPr>
          <w:rFonts w:ascii="Times New Roman" w:hAnsi="Times New Roman"/>
        </w:rPr>
        <w:sym w:font="Wingdings 2" w:char="F0A3"/>
      </w:r>
      <w:r w:rsidRPr="00BB4D85">
        <w:rPr>
          <w:rFonts w:ascii="Times New Roman" w:hAnsi="Times New Roman"/>
        </w:rPr>
        <w:t xml:space="preserve"> la </w:t>
      </w:r>
      <w:r w:rsidR="008A451A" w:rsidRPr="00BB4D85">
        <w:rPr>
          <w:rFonts w:ascii="Times New Roman" w:hAnsi="Times New Roman"/>
        </w:rPr>
        <w:t>disciplina compensativa delle ex festività soppresse, che normalmente avviene attraverso il riconoscimento di permessi individuali</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CF4892" w:rsidRPr="00DD3427" w:rsidRDefault="00CF4892" w:rsidP="00B517D4">
      <w:pPr>
        <w:ind w:left="284"/>
        <w:jc w:val="both"/>
        <w:rPr>
          <w:rFonts w:ascii="Times New Roman" w:hAnsi="Times New Roman"/>
          <w:sz w:val="16"/>
          <w:szCs w:val="16"/>
        </w:rPr>
      </w:pPr>
    </w:p>
    <w:p w:rsidR="008A451A" w:rsidRPr="00BB4D85"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la durata del periodo di prova</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9E1EF1" w:rsidRPr="00DD3427" w:rsidRDefault="009E1EF1" w:rsidP="00635FC3">
      <w:pPr>
        <w:jc w:val="both"/>
        <w:rPr>
          <w:rFonts w:ascii="Times New Roman" w:hAnsi="Times New Roman"/>
          <w:sz w:val="16"/>
          <w:szCs w:val="16"/>
        </w:rPr>
      </w:pPr>
    </w:p>
    <w:p w:rsidR="008A451A"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la durata del periodo di preavviso</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9E1EF1" w:rsidRPr="00DD3427" w:rsidRDefault="009E1EF1" w:rsidP="00635FC3">
      <w:pPr>
        <w:jc w:val="both"/>
        <w:rPr>
          <w:rFonts w:ascii="Times New Roman" w:hAnsi="Times New Roman"/>
          <w:sz w:val="16"/>
          <w:szCs w:val="16"/>
        </w:rPr>
      </w:pPr>
    </w:p>
    <w:p w:rsidR="008A451A"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durata del periodo di comporto in caso di malattia e infortunio</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9E1EF1" w:rsidRDefault="009E1EF1" w:rsidP="00635FC3">
      <w:pPr>
        <w:jc w:val="both"/>
        <w:rPr>
          <w:rFonts w:ascii="Times New Roman" w:hAnsi="Times New Roman"/>
          <w:sz w:val="16"/>
          <w:szCs w:val="16"/>
        </w:rPr>
      </w:pPr>
    </w:p>
    <w:p w:rsidR="000C52C4" w:rsidRDefault="000C52C4" w:rsidP="00635FC3">
      <w:pPr>
        <w:jc w:val="both"/>
        <w:rPr>
          <w:rFonts w:ascii="Times New Roman" w:hAnsi="Times New Roman"/>
          <w:sz w:val="16"/>
          <w:szCs w:val="16"/>
        </w:rPr>
      </w:pPr>
    </w:p>
    <w:p w:rsidR="000C52C4" w:rsidRPr="00DD3427" w:rsidRDefault="000C52C4" w:rsidP="00635FC3">
      <w:pPr>
        <w:jc w:val="both"/>
        <w:rPr>
          <w:rFonts w:ascii="Times New Roman" w:hAnsi="Times New Roman"/>
          <w:sz w:val="16"/>
          <w:szCs w:val="16"/>
        </w:rPr>
      </w:pPr>
    </w:p>
    <w:p w:rsidR="008A451A"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malattia e infortunio, con particolare riferimento al riconoscimento di un’eventuale integrazione delle relative indennità</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DD3427" w:rsidRPr="00CF4892" w:rsidRDefault="00DD3427" w:rsidP="00635FC3">
      <w:pPr>
        <w:jc w:val="both"/>
        <w:rPr>
          <w:rFonts w:ascii="Times New Roman" w:hAnsi="Times New Roman"/>
          <w:sz w:val="16"/>
          <w:szCs w:val="16"/>
        </w:rPr>
      </w:pPr>
    </w:p>
    <w:p w:rsidR="008A451A"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maternità ed eventuale riconoscimento di un’integrazione della relativa indennità per astensione obbligatoria e facoltativa</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9E1EF1" w:rsidRPr="00CF4892" w:rsidRDefault="009E1EF1" w:rsidP="00635FC3">
      <w:pPr>
        <w:jc w:val="both"/>
        <w:rPr>
          <w:rFonts w:ascii="Times New Roman" w:hAnsi="Times New Roman"/>
          <w:sz w:val="16"/>
          <w:szCs w:val="16"/>
        </w:rPr>
      </w:pPr>
    </w:p>
    <w:p w:rsidR="008A451A"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monte ore di permessi retribuiti</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9E1EF1" w:rsidRPr="00CF4892" w:rsidRDefault="009E1EF1" w:rsidP="00635FC3">
      <w:pPr>
        <w:jc w:val="both"/>
        <w:rPr>
          <w:rFonts w:ascii="Times New Roman" w:hAnsi="Times New Roman"/>
          <w:sz w:val="16"/>
          <w:szCs w:val="16"/>
        </w:rPr>
      </w:pPr>
    </w:p>
    <w:p w:rsidR="008A451A"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bilateralità</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9E1EF1" w:rsidRPr="00CF4892" w:rsidRDefault="009E1EF1" w:rsidP="00635FC3">
      <w:pPr>
        <w:jc w:val="both"/>
        <w:rPr>
          <w:rFonts w:ascii="Times New Roman" w:hAnsi="Times New Roman"/>
          <w:sz w:val="16"/>
          <w:szCs w:val="16"/>
        </w:rPr>
      </w:pPr>
    </w:p>
    <w:p w:rsidR="008A451A"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previdenza integrativa</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903343"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Pr="00903343" w:rsidRDefault="00CF4892" w:rsidP="00903343">
            <w:pPr>
              <w:jc w:val="both"/>
              <w:rPr>
                <w:rFonts w:ascii="Times New Roman" w:hAnsi="Times New Roman"/>
              </w:rPr>
            </w:pPr>
          </w:p>
        </w:tc>
      </w:tr>
    </w:tbl>
    <w:p w:rsidR="009E1EF1" w:rsidRDefault="009E1EF1" w:rsidP="00635FC3">
      <w:pPr>
        <w:jc w:val="both"/>
        <w:rPr>
          <w:rFonts w:ascii="Times New Roman" w:hAnsi="Times New Roman"/>
          <w:sz w:val="16"/>
          <w:szCs w:val="16"/>
        </w:rPr>
      </w:pPr>
    </w:p>
    <w:p w:rsidR="000C52C4" w:rsidRPr="00CF4892" w:rsidRDefault="000C52C4" w:rsidP="00635FC3">
      <w:pPr>
        <w:jc w:val="both"/>
        <w:rPr>
          <w:rFonts w:ascii="Times New Roman" w:hAnsi="Times New Roman"/>
          <w:sz w:val="16"/>
          <w:szCs w:val="16"/>
        </w:rPr>
      </w:pPr>
    </w:p>
    <w:p w:rsidR="008A451A" w:rsidRDefault="00472812" w:rsidP="00B517D4">
      <w:pPr>
        <w:ind w:left="284"/>
        <w:jc w:val="both"/>
        <w:rPr>
          <w:rFonts w:ascii="Times New Roman" w:hAnsi="Times New Roman"/>
        </w:rPr>
      </w:pPr>
      <w:r w:rsidRPr="00BB4D85">
        <w:rPr>
          <w:rFonts w:ascii="Times New Roman" w:hAnsi="Times New Roman"/>
        </w:rPr>
        <w:sym w:font="Wingdings 2" w:char="F0A3"/>
      </w:r>
      <w:r w:rsidR="008A451A" w:rsidRPr="00BB4D85">
        <w:rPr>
          <w:rFonts w:ascii="Times New Roman" w:hAnsi="Times New Roman"/>
        </w:rPr>
        <w:t xml:space="preserve"> sanità integrativa</w:t>
      </w:r>
    </w:p>
    <w:tbl>
      <w:tblPr>
        <w:tblStyle w:val="Grigliatabella"/>
        <w:tblW w:w="0" w:type="auto"/>
        <w:tblInd w:w="284" w:type="dxa"/>
        <w:tblLook w:val="04A0"/>
      </w:tblPr>
      <w:tblGrid>
        <w:gridCol w:w="4695"/>
        <w:gridCol w:w="4649"/>
      </w:tblGrid>
      <w:tr w:rsidR="00CF4892" w:rsidTr="00903343">
        <w:tc>
          <w:tcPr>
            <w:tcW w:w="4695" w:type="dxa"/>
          </w:tcPr>
          <w:p w:rsidR="00CF4892" w:rsidRPr="009E1EF1" w:rsidRDefault="00CF4892" w:rsidP="00903343">
            <w:pPr>
              <w:jc w:val="both"/>
              <w:rPr>
                <w:rFonts w:ascii="Times New Roman" w:hAnsi="Times New Roman"/>
              </w:rPr>
            </w:pPr>
            <w:r w:rsidRPr="009E1EF1">
              <w:rPr>
                <w:rFonts w:ascii="Times New Roman" w:hAnsi="Times New Roman"/>
              </w:rPr>
              <w:t>Indica i seguenti articoli del CCNL applicato:</w:t>
            </w:r>
          </w:p>
          <w:p w:rsidR="00CF4892" w:rsidRDefault="00CF4892" w:rsidP="00903343">
            <w:pPr>
              <w:jc w:val="both"/>
              <w:rPr>
                <w:rFonts w:ascii="Times New Roman" w:hAnsi="Times New Roman"/>
              </w:rPr>
            </w:pPr>
          </w:p>
        </w:tc>
        <w:tc>
          <w:tcPr>
            <w:tcW w:w="4649" w:type="dxa"/>
          </w:tcPr>
          <w:p w:rsidR="00CF4892" w:rsidRPr="00161800"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Default="00CF4892" w:rsidP="00903343">
            <w:pPr>
              <w:rPr>
                <w:rFonts w:ascii="Times New Roman" w:hAnsi="Times New Roman"/>
              </w:rPr>
            </w:pPr>
          </w:p>
        </w:tc>
      </w:tr>
      <w:tr w:rsidR="00CF4892" w:rsidTr="00903343">
        <w:tc>
          <w:tcPr>
            <w:tcW w:w="4695" w:type="dxa"/>
          </w:tcPr>
          <w:p w:rsidR="00CF4892" w:rsidRDefault="00CF4892" w:rsidP="00903343">
            <w:pPr>
              <w:jc w:val="both"/>
              <w:rPr>
                <w:rFonts w:ascii="Times New Roman" w:hAnsi="Times New Roman"/>
              </w:rPr>
            </w:pPr>
            <w:r w:rsidRPr="009E1EF1">
              <w:rPr>
                <w:rFonts w:ascii="Times New Roman" w:hAnsi="Times New Roman"/>
              </w:rPr>
              <w:t>Motivazione dell’equivalenza:</w:t>
            </w:r>
          </w:p>
        </w:tc>
        <w:tc>
          <w:tcPr>
            <w:tcW w:w="4649" w:type="dxa"/>
          </w:tcPr>
          <w:p w:rsidR="00CF4892" w:rsidRPr="00161800" w:rsidRDefault="00CF4892" w:rsidP="00903343">
            <w:pPr>
              <w:rPr>
                <w:rFonts w:ascii="Times New Roman" w:hAnsi="Times New Roman"/>
                <w:iCs/>
                <w:sz w:val="24"/>
                <w:szCs w:val="24"/>
              </w:rPr>
            </w:pPr>
            <w:r w:rsidRPr="00903343">
              <w:rPr>
                <w:rFonts w:ascii="Times New Roman" w:hAnsi="Times New Roman"/>
                <w:iCs/>
                <w:sz w:val="24"/>
                <w:szCs w:val="24"/>
              </w:rPr>
              <w:t>[●]</w:t>
            </w:r>
          </w:p>
          <w:p w:rsidR="00CF4892" w:rsidRDefault="00CF4892" w:rsidP="00903343">
            <w:pPr>
              <w:jc w:val="both"/>
              <w:rPr>
                <w:rFonts w:ascii="Times New Roman" w:hAnsi="Times New Roman"/>
              </w:rPr>
            </w:pPr>
          </w:p>
        </w:tc>
      </w:tr>
    </w:tbl>
    <w:p w:rsidR="00DD3427" w:rsidRDefault="00DD3427" w:rsidP="00635FC3">
      <w:pPr>
        <w:jc w:val="both"/>
        <w:rPr>
          <w:rFonts w:ascii="Times New Roman" w:hAnsi="Times New Roman"/>
          <w:b/>
        </w:rPr>
      </w:pPr>
    </w:p>
    <w:p w:rsidR="00DD3427" w:rsidRDefault="00DD3427" w:rsidP="00635FC3">
      <w:pPr>
        <w:jc w:val="both"/>
        <w:rPr>
          <w:rFonts w:ascii="Times New Roman" w:hAnsi="Times New Roman"/>
          <w:b/>
        </w:rPr>
      </w:pPr>
    </w:p>
    <w:p w:rsidR="00DD3427" w:rsidRDefault="00DD3427" w:rsidP="00635FC3">
      <w:pPr>
        <w:jc w:val="both"/>
        <w:rPr>
          <w:rFonts w:ascii="Times New Roman" w:hAnsi="Times New Roman"/>
          <w:b/>
        </w:rPr>
      </w:pPr>
    </w:p>
    <w:p w:rsidR="00472812" w:rsidRDefault="00472812" w:rsidP="00635FC3">
      <w:pPr>
        <w:jc w:val="both"/>
        <w:rPr>
          <w:rFonts w:ascii="Times New Roman" w:hAnsi="Times New Roman"/>
          <w:b/>
        </w:rPr>
      </w:pPr>
      <w:r w:rsidRPr="00BB4D85">
        <w:rPr>
          <w:rFonts w:ascii="Times New Roman" w:hAnsi="Times New Roman"/>
          <w:b/>
        </w:rPr>
        <w:t>Il concorrente allega copia del CCNL applicato.</w:t>
      </w:r>
    </w:p>
    <w:p w:rsidR="000C52C4" w:rsidRDefault="000C52C4" w:rsidP="00635FC3">
      <w:pPr>
        <w:jc w:val="both"/>
        <w:rPr>
          <w:rFonts w:ascii="Times New Roman" w:hAnsi="Times New Roman"/>
          <w:b/>
        </w:rPr>
      </w:pPr>
    </w:p>
    <w:p w:rsidR="000C52C4" w:rsidRPr="00BB4D85" w:rsidRDefault="000C52C4" w:rsidP="00635FC3">
      <w:pPr>
        <w:jc w:val="both"/>
        <w:rPr>
          <w:rFonts w:ascii="Times New Roman" w:hAnsi="Times New Roman"/>
          <w:b/>
        </w:rPr>
      </w:pPr>
    </w:p>
    <w:p w:rsidR="00635FC3" w:rsidRPr="00BB4D85" w:rsidRDefault="00635FC3" w:rsidP="00635FC3">
      <w:pPr>
        <w:autoSpaceDE w:val="0"/>
        <w:autoSpaceDN w:val="0"/>
        <w:adjustRightInd w:val="0"/>
        <w:ind w:left="5664" w:firstLine="708"/>
        <w:jc w:val="both"/>
        <w:rPr>
          <w:rFonts w:ascii="Times New Roman" w:hAnsi="Times New Roman"/>
        </w:rPr>
      </w:pPr>
      <w:r w:rsidRPr="00BB4D85">
        <w:rPr>
          <w:rFonts w:ascii="Times New Roman" w:hAnsi="Times New Roman"/>
        </w:rPr>
        <w:t>Firma digitale</w:t>
      </w:r>
    </w:p>
    <w:p w:rsidR="00D977A4" w:rsidRPr="00BB4D85" w:rsidRDefault="00635FC3" w:rsidP="00D977A4">
      <w:pPr>
        <w:autoSpaceDE w:val="0"/>
        <w:autoSpaceDN w:val="0"/>
        <w:adjustRightInd w:val="0"/>
        <w:ind w:left="4828"/>
        <w:jc w:val="both"/>
        <w:rPr>
          <w:rFonts w:ascii="Times New Roman" w:hAnsi="Times New Roman"/>
        </w:rPr>
      </w:pPr>
      <w:r w:rsidRPr="00BB4D85">
        <w:rPr>
          <w:rFonts w:ascii="Times New Roman" w:hAnsi="Times New Roman"/>
        </w:rPr>
        <w:tab/>
      </w:r>
      <w:r w:rsidRPr="00BB4D85">
        <w:rPr>
          <w:rFonts w:ascii="Times New Roman" w:hAnsi="Times New Roman"/>
        </w:rPr>
        <w:tab/>
      </w:r>
      <w:r w:rsidRPr="00BB4D85">
        <w:rPr>
          <w:rFonts w:ascii="Times New Roman" w:hAnsi="Times New Roman"/>
        </w:rPr>
        <w:tab/>
      </w:r>
      <w:r w:rsidRPr="00BB4D85">
        <w:rPr>
          <w:rFonts w:ascii="Times New Roman" w:hAnsi="Times New Roman"/>
        </w:rPr>
        <w:tab/>
      </w:r>
      <w:r w:rsidRPr="00BB4D85">
        <w:rPr>
          <w:rFonts w:ascii="Times New Roman" w:hAnsi="Times New Roman"/>
        </w:rPr>
        <w:tab/>
      </w:r>
      <w:r w:rsidRPr="00BB4D85">
        <w:rPr>
          <w:rFonts w:ascii="Times New Roman" w:hAnsi="Times New Roman"/>
        </w:rPr>
        <w:tab/>
      </w:r>
      <w:r w:rsidRPr="00BB4D85">
        <w:rPr>
          <w:rFonts w:ascii="Times New Roman" w:hAnsi="Times New Roman"/>
        </w:rPr>
        <w:tab/>
      </w:r>
      <w:r w:rsidRPr="00BB4D85">
        <w:rPr>
          <w:rFonts w:ascii="Times New Roman" w:hAnsi="Times New Roman"/>
        </w:rPr>
        <w:tab/>
        <w:t xml:space="preserve">        ______________________________________</w:t>
      </w:r>
    </w:p>
    <w:p w:rsidR="009E1EF1" w:rsidRDefault="009E1EF1" w:rsidP="00D977A4">
      <w:pPr>
        <w:autoSpaceDE w:val="0"/>
        <w:autoSpaceDN w:val="0"/>
        <w:adjustRightInd w:val="0"/>
        <w:jc w:val="both"/>
        <w:rPr>
          <w:rFonts w:ascii="Times New Roman" w:hAnsi="Times New Roman"/>
          <w:b/>
          <w:i/>
        </w:rPr>
      </w:pPr>
    </w:p>
    <w:p w:rsidR="000B193B" w:rsidRDefault="00D977A4" w:rsidP="000B193B">
      <w:pPr>
        <w:pStyle w:val="Testonotaapidipagina"/>
      </w:pPr>
      <w:r w:rsidRPr="00BB4D85">
        <w:rPr>
          <w:rFonts w:ascii="Times New Roman" w:hAnsi="Times New Roman"/>
          <w:b/>
          <w:i/>
        </w:rPr>
        <w:t>N</w:t>
      </w:r>
      <w:r w:rsidR="00BB4D85">
        <w:rPr>
          <w:rFonts w:ascii="Times New Roman" w:hAnsi="Times New Roman"/>
          <w:b/>
          <w:i/>
        </w:rPr>
        <w:t>.B.</w:t>
      </w:r>
      <w:r w:rsidRPr="00BB4D85">
        <w:rPr>
          <w:rFonts w:ascii="Times New Roman" w:hAnsi="Times New Roman"/>
          <w:b/>
          <w:i/>
        </w:rPr>
        <w:t xml:space="preserve">: La stazione appaltante può ritenere sussistente l’equivalenza in caso di uno scostamento limitato a soli due parametri. </w:t>
      </w:r>
      <w:r w:rsidRPr="00BB4D85">
        <w:rPr>
          <w:rFonts w:ascii="Times New Roman" w:hAnsi="Times New Roman"/>
          <w:b/>
          <w:i/>
        </w:rPr>
        <w:cr/>
      </w:r>
    </w:p>
    <w:p w:rsidR="00D977A4" w:rsidRPr="000B193B" w:rsidRDefault="000B193B" w:rsidP="009B117F">
      <w:pPr>
        <w:pStyle w:val="Testonotaapidipagina"/>
        <w:rPr>
          <w:rFonts w:ascii="Times New Roman" w:hAnsi="Times New Roman"/>
          <w:b/>
          <w:i/>
        </w:rPr>
      </w:pPr>
      <w:r w:rsidRPr="000B193B">
        <w:rPr>
          <w:rFonts w:ascii="Times New Roman" w:hAnsi="Times New Roman"/>
        </w:rPr>
        <w:t>Cfr. Nota illustrativa al Bando Tipo n. 1</w:t>
      </w:r>
      <w:r>
        <w:t xml:space="preserve"> </w:t>
      </w:r>
      <w:hyperlink r:id="rId8" w:history="1">
        <w:r w:rsidRPr="002D4009">
          <w:rPr>
            <w:rStyle w:val="Collegamentoipertestuale"/>
          </w:rPr>
          <w:t>https://www.anticorruzione.it/-/delibera-n.-309-del-27-giugno-2023-bando-tipo-n.1-2023</w:t>
        </w:r>
      </w:hyperlink>
      <w:r>
        <w:t xml:space="preserve"> </w:t>
      </w:r>
      <w:r w:rsidRPr="000B193B">
        <w:rPr>
          <w:rFonts w:ascii="Times New Roman" w:hAnsi="Times New Roman"/>
        </w:rPr>
        <w:t>Il modello è provvisorio in quanto ANAC, nella relazione al bando tipo 1, preannuncia che predisporrà una dichiarazione standard.</w:t>
      </w:r>
    </w:p>
    <w:sectPr w:rsidR="00D977A4" w:rsidRPr="000B193B" w:rsidSect="000B193B">
      <w:headerReference w:type="default" r:id="rId9"/>
      <w:footerReference w:type="default" r:id="rId10"/>
      <w:pgSz w:w="11906" w:h="16838"/>
      <w:pgMar w:top="1417"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20C" w:rsidRDefault="0008120C" w:rsidP="00D977A4">
      <w:pPr>
        <w:spacing w:after="0" w:line="240" w:lineRule="auto"/>
      </w:pPr>
      <w:r>
        <w:separator/>
      </w:r>
    </w:p>
  </w:endnote>
  <w:endnote w:type="continuationSeparator" w:id="0">
    <w:p w:rsidR="0008120C" w:rsidRDefault="0008120C" w:rsidP="00D97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0C" w:rsidRPr="00B517D4" w:rsidRDefault="00737C92">
    <w:pPr>
      <w:pStyle w:val="Pidipagina"/>
      <w:jc w:val="center"/>
      <w:rPr>
        <w:rFonts w:ascii="Times New Roman" w:hAnsi="Times New Roman"/>
        <w:sz w:val="20"/>
        <w:szCs w:val="20"/>
      </w:rPr>
    </w:pPr>
    <w:r w:rsidRPr="00B517D4">
      <w:rPr>
        <w:rFonts w:ascii="Times New Roman" w:hAnsi="Times New Roman"/>
        <w:sz w:val="20"/>
        <w:szCs w:val="20"/>
      </w:rPr>
      <w:fldChar w:fldCharType="begin"/>
    </w:r>
    <w:r w:rsidR="0008120C" w:rsidRPr="00B517D4">
      <w:rPr>
        <w:rFonts w:ascii="Times New Roman" w:hAnsi="Times New Roman"/>
        <w:sz w:val="20"/>
        <w:szCs w:val="20"/>
      </w:rPr>
      <w:instrText>PAGE   \* MERGEFORMAT</w:instrText>
    </w:r>
    <w:r w:rsidRPr="00B517D4">
      <w:rPr>
        <w:rFonts w:ascii="Times New Roman" w:hAnsi="Times New Roman"/>
        <w:sz w:val="20"/>
        <w:szCs w:val="20"/>
      </w:rPr>
      <w:fldChar w:fldCharType="separate"/>
    </w:r>
    <w:r w:rsidR="000F0641">
      <w:rPr>
        <w:rFonts w:ascii="Times New Roman" w:hAnsi="Times New Roman"/>
        <w:noProof/>
        <w:sz w:val="20"/>
        <w:szCs w:val="20"/>
      </w:rPr>
      <w:t>1</w:t>
    </w:r>
    <w:r w:rsidRPr="00B517D4">
      <w:rPr>
        <w:rFonts w:ascii="Times New Roman" w:hAnsi="Times New Roman"/>
        <w:sz w:val="20"/>
        <w:szCs w:val="20"/>
      </w:rPr>
      <w:fldChar w:fldCharType="end"/>
    </w:r>
  </w:p>
  <w:p w:rsidR="0008120C" w:rsidRDefault="0008120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20C" w:rsidRDefault="0008120C" w:rsidP="00D977A4">
      <w:pPr>
        <w:spacing w:after="0" w:line="240" w:lineRule="auto"/>
      </w:pPr>
      <w:r>
        <w:separator/>
      </w:r>
    </w:p>
  </w:footnote>
  <w:footnote w:type="continuationSeparator" w:id="0">
    <w:p w:rsidR="0008120C" w:rsidRDefault="0008120C" w:rsidP="00D977A4">
      <w:pPr>
        <w:spacing w:after="0" w:line="240" w:lineRule="auto"/>
      </w:pPr>
      <w:r>
        <w:continuationSeparator/>
      </w:r>
    </w:p>
  </w:footnote>
  <w:footnote w:id="1">
    <w:p w:rsidR="0008120C" w:rsidRDefault="0008120C" w:rsidP="00637FD6">
      <w:pPr>
        <w:pStyle w:val="Testonotaapidipagina"/>
        <w:jc w:val="both"/>
      </w:pPr>
      <w:r>
        <w:rPr>
          <w:rStyle w:val="Rimandonotaapidipagina"/>
        </w:rPr>
        <w:footnoteRef/>
      </w:r>
      <w:r>
        <w:t xml:space="preserve"> </w:t>
      </w:r>
      <w:r>
        <w:rPr>
          <w:rFonts w:ascii="Times New Roman" w:hAnsi="Times New Roman"/>
          <w:b/>
          <w:sz w:val="18"/>
          <w:szCs w:val="18"/>
        </w:rPr>
        <w:t>Nel</w:t>
      </w:r>
      <w:r w:rsidRPr="00637FD6">
        <w:rPr>
          <w:rFonts w:ascii="Times New Roman" w:hAnsi="Times New Roman"/>
          <w:b/>
          <w:sz w:val="18"/>
          <w:szCs w:val="18"/>
        </w:rPr>
        <w:t xml:space="preserve"> bando tipo</w:t>
      </w:r>
      <w:r>
        <w:rPr>
          <w:rFonts w:ascii="Times New Roman" w:hAnsi="Times New Roman"/>
          <w:b/>
          <w:sz w:val="18"/>
          <w:szCs w:val="18"/>
        </w:rPr>
        <w:t xml:space="preserve"> ANAC</w:t>
      </w:r>
      <w:r w:rsidRPr="00637FD6">
        <w:rPr>
          <w:rFonts w:ascii="Times New Roman" w:hAnsi="Times New Roman"/>
          <w:b/>
          <w:sz w:val="18"/>
          <w:szCs w:val="18"/>
        </w:rPr>
        <w:t xml:space="preserve"> n. 1</w:t>
      </w:r>
      <w:r>
        <w:rPr>
          <w:rFonts w:ascii="Times New Roman" w:hAnsi="Times New Roman"/>
          <w:b/>
          <w:sz w:val="18"/>
          <w:szCs w:val="18"/>
        </w:rPr>
        <w:t xml:space="preserve"> è riportato</w:t>
      </w:r>
      <w:r w:rsidRPr="00637FD6">
        <w:rPr>
          <w:rFonts w:ascii="Times New Roman" w:hAnsi="Times New Roman"/>
          <w:b/>
          <w:sz w:val="18"/>
          <w:szCs w:val="18"/>
        </w:rPr>
        <w:t xml:space="preserve">: </w:t>
      </w:r>
      <w:r w:rsidRPr="00637FD6">
        <w:rPr>
          <w:rFonts w:ascii="Times New Roman" w:hAnsi="Times New Roman"/>
          <w:bCs/>
          <w:i/>
          <w:iCs/>
          <w:sz w:val="18"/>
          <w:szCs w:val="18"/>
        </w:rPr>
        <w:t>“ad eccezione dei contratti di fornitura senza posa in opera e dei servizi di natura intellettuale, l’operatore economico che adotta un CCNL diverso da quello indicato all’articolo 3 inserisce la dichiarazione di equivalenze delle tutele e l’eventuale documentazione probatoria sulla equivalenza del proprio CCNL nella sezione della piattaforma relativa all’offerta tecnica”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0C" w:rsidRPr="000C52C4" w:rsidRDefault="0008120C" w:rsidP="000C52C4">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2BC4"/>
    <w:multiLevelType w:val="hybridMultilevel"/>
    <w:tmpl w:val="692E7394"/>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16D233EE"/>
    <w:multiLevelType w:val="hybridMultilevel"/>
    <w:tmpl w:val="E9A0340E"/>
    <w:lvl w:ilvl="0" w:tplc="AA7261D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2C0FAB"/>
    <w:multiLevelType w:val="hybridMultilevel"/>
    <w:tmpl w:val="7C8C7AE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nsid w:val="76056A96"/>
    <w:multiLevelType w:val="hybridMultilevel"/>
    <w:tmpl w:val="52423A12"/>
    <w:lvl w:ilvl="0" w:tplc="A022E4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8A451A"/>
    <w:rsid w:val="000151F6"/>
    <w:rsid w:val="00024E97"/>
    <w:rsid w:val="0008120C"/>
    <w:rsid w:val="00086287"/>
    <w:rsid w:val="000A5214"/>
    <w:rsid w:val="000A6092"/>
    <w:rsid w:val="000A71BA"/>
    <w:rsid w:val="000B193B"/>
    <w:rsid w:val="000C070F"/>
    <w:rsid w:val="000C29BA"/>
    <w:rsid w:val="000C52C4"/>
    <w:rsid w:val="000F0641"/>
    <w:rsid w:val="000F07F9"/>
    <w:rsid w:val="000F278F"/>
    <w:rsid w:val="000F5D4E"/>
    <w:rsid w:val="00122B04"/>
    <w:rsid w:val="001B2A3F"/>
    <w:rsid w:val="001B5A30"/>
    <w:rsid w:val="00222B21"/>
    <w:rsid w:val="00243C07"/>
    <w:rsid w:val="002915A1"/>
    <w:rsid w:val="00293986"/>
    <w:rsid w:val="002B4808"/>
    <w:rsid w:val="002D2313"/>
    <w:rsid w:val="003156C2"/>
    <w:rsid w:val="00315CB7"/>
    <w:rsid w:val="00376788"/>
    <w:rsid w:val="003B5FB1"/>
    <w:rsid w:val="003F0192"/>
    <w:rsid w:val="00442717"/>
    <w:rsid w:val="00472812"/>
    <w:rsid w:val="004817A7"/>
    <w:rsid w:val="004B0D33"/>
    <w:rsid w:val="00507EB3"/>
    <w:rsid w:val="00534815"/>
    <w:rsid w:val="005570E6"/>
    <w:rsid w:val="005B4892"/>
    <w:rsid w:val="005D3B3B"/>
    <w:rsid w:val="005E4B9E"/>
    <w:rsid w:val="005E4CE5"/>
    <w:rsid w:val="0063323F"/>
    <w:rsid w:val="00635FC3"/>
    <w:rsid w:val="00637FD6"/>
    <w:rsid w:val="0067793B"/>
    <w:rsid w:val="006E1B69"/>
    <w:rsid w:val="006E4C3D"/>
    <w:rsid w:val="006F30C1"/>
    <w:rsid w:val="00737C92"/>
    <w:rsid w:val="0074400F"/>
    <w:rsid w:val="00753874"/>
    <w:rsid w:val="007603A0"/>
    <w:rsid w:val="00782E60"/>
    <w:rsid w:val="00784E12"/>
    <w:rsid w:val="00784F5C"/>
    <w:rsid w:val="00786CD8"/>
    <w:rsid w:val="007B0852"/>
    <w:rsid w:val="007C76A3"/>
    <w:rsid w:val="007D3409"/>
    <w:rsid w:val="00804B94"/>
    <w:rsid w:val="00823422"/>
    <w:rsid w:val="008A451A"/>
    <w:rsid w:val="00903343"/>
    <w:rsid w:val="009327B1"/>
    <w:rsid w:val="00933B83"/>
    <w:rsid w:val="009779D1"/>
    <w:rsid w:val="00983905"/>
    <w:rsid w:val="0098600E"/>
    <w:rsid w:val="009B117F"/>
    <w:rsid w:val="009C6287"/>
    <w:rsid w:val="009E1EF1"/>
    <w:rsid w:val="00A113EE"/>
    <w:rsid w:val="00A44E0F"/>
    <w:rsid w:val="00A6064F"/>
    <w:rsid w:val="00A66D83"/>
    <w:rsid w:val="00A85B60"/>
    <w:rsid w:val="00AD4373"/>
    <w:rsid w:val="00AE010F"/>
    <w:rsid w:val="00B455B7"/>
    <w:rsid w:val="00B517D4"/>
    <w:rsid w:val="00B842B4"/>
    <w:rsid w:val="00BA1373"/>
    <w:rsid w:val="00BA5E77"/>
    <w:rsid w:val="00BB4D85"/>
    <w:rsid w:val="00BD15B6"/>
    <w:rsid w:val="00C1496E"/>
    <w:rsid w:val="00C2194E"/>
    <w:rsid w:val="00C23BA4"/>
    <w:rsid w:val="00C3772D"/>
    <w:rsid w:val="00CC3859"/>
    <w:rsid w:val="00CC4F3F"/>
    <w:rsid w:val="00CE5F5C"/>
    <w:rsid w:val="00CF4892"/>
    <w:rsid w:val="00D4520B"/>
    <w:rsid w:val="00D56BF9"/>
    <w:rsid w:val="00D977A4"/>
    <w:rsid w:val="00DB2C97"/>
    <w:rsid w:val="00DC4783"/>
    <w:rsid w:val="00DD3427"/>
    <w:rsid w:val="00E52B5F"/>
    <w:rsid w:val="00EB5716"/>
    <w:rsid w:val="00EE500D"/>
    <w:rsid w:val="00EF6704"/>
    <w:rsid w:val="00F003C7"/>
    <w:rsid w:val="00F30E86"/>
    <w:rsid w:val="00F443B1"/>
    <w:rsid w:val="00FE57D4"/>
    <w:rsid w:val="00FE6A25"/>
    <w:rsid w:val="00FF2C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07F9"/>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7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7A4"/>
  </w:style>
  <w:style w:type="paragraph" w:styleId="Pidipagina">
    <w:name w:val="footer"/>
    <w:basedOn w:val="Normale"/>
    <w:link w:val="PidipaginaCarattere"/>
    <w:uiPriority w:val="99"/>
    <w:unhideWhenUsed/>
    <w:rsid w:val="00D97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7A4"/>
  </w:style>
  <w:style w:type="paragraph" w:styleId="Testofumetto">
    <w:name w:val="Balloon Text"/>
    <w:basedOn w:val="Normale"/>
    <w:link w:val="TestofumettoCarattere"/>
    <w:uiPriority w:val="99"/>
    <w:semiHidden/>
    <w:unhideWhenUsed/>
    <w:rsid w:val="005D3B3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D3B3B"/>
    <w:rPr>
      <w:rFonts w:ascii="Tahoma" w:hAnsi="Tahoma" w:cs="Tahoma"/>
      <w:sz w:val="16"/>
      <w:szCs w:val="16"/>
    </w:rPr>
  </w:style>
  <w:style w:type="character" w:styleId="Enfasigrassetto">
    <w:name w:val="Strong"/>
    <w:uiPriority w:val="22"/>
    <w:qFormat/>
    <w:rsid w:val="00DB2C97"/>
    <w:rPr>
      <w:rFonts w:ascii="Times New Roman" w:hAnsi="Times New Roman" w:cs="Times New Roman" w:hint="default"/>
      <w:b/>
      <w:bCs/>
    </w:rPr>
  </w:style>
  <w:style w:type="table" w:styleId="Grigliatabella">
    <w:name w:val="Table Grid"/>
    <w:basedOn w:val="Tabellanormale"/>
    <w:uiPriority w:val="39"/>
    <w:rsid w:val="00BB4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B455B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455B7"/>
    <w:rPr>
      <w:lang w:eastAsia="en-US"/>
    </w:rPr>
  </w:style>
  <w:style w:type="character" w:styleId="Rimandonotaapidipagina">
    <w:name w:val="footnote reference"/>
    <w:basedOn w:val="Carpredefinitoparagrafo"/>
    <w:uiPriority w:val="99"/>
    <w:semiHidden/>
    <w:unhideWhenUsed/>
    <w:rsid w:val="00B455B7"/>
    <w:rPr>
      <w:vertAlign w:val="superscript"/>
    </w:rPr>
  </w:style>
  <w:style w:type="character" w:styleId="Collegamentoipertestuale">
    <w:name w:val="Hyperlink"/>
    <w:basedOn w:val="Carpredefinitoparagrafo"/>
    <w:uiPriority w:val="99"/>
    <w:unhideWhenUsed/>
    <w:rsid w:val="000B193B"/>
    <w:rPr>
      <w:color w:val="0563C1" w:themeColor="hyperlink"/>
      <w:u w:val="single"/>
    </w:rPr>
  </w:style>
  <w:style w:type="character" w:customStyle="1" w:styleId="UnresolvedMention">
    <w:name w:val="Unresolved Mention"/>
    <w:basedOn w:val="Carpredefinitoparagrafo"/>
    <w:uiPriority w:val="99"/>
    <w:semiHidden/>
    <w:unhideWhenUsed/>
    <w:rsid w:val="000B193B"/>
    <w:rPr>
      <w:color w:val="605E5C"/>
      <w:shd w:val="clear" w:color="auto" w:fill="E1DFDD"/>
    </w:rPr>
  </w:style>
  <w:style w:type="paragraph" w:styleId="Paragrafoelenco">
    <w:name w:val="List Paragraph"/>
    <w:basedOn w:val="Normale"/>
    <w:uiPriority w:val="34"/>
    <w:qFormat/>
    <w:rsid w:val="00804B94"/>
    <w:pPr>
      <w:ind w:left="720"/>
      <w:contextualSpacing/>
    </w:pPr>
  </w:style>
</w:styles>
</file>

<file path=word/webSettings.xml><?xml version="1.0" encoding="utf-8"?>
<w:webSettings xmlns:r="http://schemas.openxmlformats.org/officeDocument/2006/relationships" xmlns:w="http://schemas.openxmlformats.org/wordprocessingml/2006/main">
  <w:divs>
    <w:div w:id="168759580">
      <w:bodyDiv w:val="1"/>
      <w:marLeft w:val="0"/>
      <w:marRight w:val="0"/>
      <w:marTop w:val="0"/>
      <w:marBottom w:val="0"/>
      <w:divBdr>
        <w:top w:val="none" w:sz="0" w:space="0" w:color="auto"/>
        <w:left w:val="none" w:sz="0" w:space="0" w:color="auto"/>
        <w:bottom w:val="none" w:sz="0" w:space="0" w:color="auto"/>
        <w:right w:val="none" w:sz="0" w:space="0" w:color="auto"/>
      </w:divBdr>
    </w:div>
    <w:div w:id="57686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delibera-n.-309-del-27-giugno-2023-bando-tipo-n.1-2023"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881811B17BCCE43A9C90449BD018953" ma:contentTypeVersion="13" ma:contentTypeDescription="Creare un nuovo documento." ma:contentTypeScope="" ma:versionID="7dcab4fb6ed2571b6c753bdf5750d45a">
  <xsd:schema xmlns:xsd="http://www.w3.org/2001/XMLSchema" xmlns:xs="http://www.w3.org/2001/XMLSchema" xmlns:p="http://schemas.microsoft.com/office/2006/metadata/properties" xmlns:ns2="dda0b2e5-c29d-4e49-904b-9e8047aef477" xmlns:ns3="69f8c441-6c46-4fd4-a416-25563522bef5" targetNamespace="http://schemas.microsoft.com/office/2006/metadata/properties" ma:root="true" ma:fieldsID="33accded80d01caef46ef41b9aeed3f3" ns2:_="" ns3:_="">
    <xsd:import namespace="dda0b2e5-c29d-4e49-904b-9e8047aef477"/>
    <xsd:import namespace="69f8c441-6c46-4fd4-a416-25563522be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0b2e5-c29d-4e49-904b-9e8047aef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53a4f5a-e557-4737-ae5c-88dc315c6b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8c441-6c46-4fd4-a416-25563522be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4f46da-b27d-400e-a101-d55df618e076}" ma:internalName="TaxCatchAll" ma:showField="CatchAllData" ma:web="69f8c441-6c46-4fd4-a416-25563522b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a0b2e5-c29d-4e49-904b-9e8047aef477">
      <Terms xmlns="http://schemas.microsoft.com/office/infopath/2007/PartnerControls"/>
    </lcf76f155ced4ddcb4097134ff3c332f>
    <TaxCatchAll xmlns="69f8c441-6c46-4fd4-a416-25563522bef5" xsi:nil="true"/>
  </documentManagement>
</p:properties>
</file>

<file path=customXml/itemProps1.xml><?xml version="1.0" encoding="utf-8"?>
<ds:datastoreItem xmlns:ds="http://schemas.openxmlformats.org/officeDocument/2006/customXml" ds:itemID="{EA8D851F-E6A6-49E0-89E2-AD66DBA6910A}">
  <ds:schemaRefs>
    <ds:schemaRef ds:uri="http://schemas.openxmlformats.org/officeDocument/2006/bibliography"/>
  </ds:schemaRefs>
</ds:datastoreItem>
</file>

<file path=customXml/itemProps2.xml><?xml version="1.0" encoding="utf-8"?>
<ds:datastoreItem xmlns:ds="http://schemas.openxmlformats.org/officeDocument/2006/customXml" ds:itemID="{6FF8DFB0-CD31-462C-93AC-7C3381078421}"/>
</file>

<file path=customXml/itemProps3.xml><?xml version="1.0" encoding="utf-8"?>
<ds:datastoreItem xmlns:ds="http://schemas.openxmlformats.org/officeDocument/2006/customXml" ds:itemID="{B06627E4-68CB-434A-A1D4-91EDE36C43D3}"/>
</file>

<file path=customXml/itemProps4.xml><?xml version="1.0" encoding="utf-8"?>
<ds:datastoreItem xmlns:ds="http://schemas.openxmlformats.org/officeDocument/2006/customXml" ds:itemID="{92956AD4-3E55-485A-8742-2348B24B87CC}"/>
</file>

<file path=docProps/app.xml><?xml version="1.0" encoding="utf-8"?>
<Properties xmlns="http://schemas.openxmlformats.org/officeDocument/2006/extended-properties" xmlns:vt="http://schemas.openxmlformats.org/officeDocument/2006/docPropsVTypes">
  <Template>Normal.dotm</Template>
  <TotalTime>26</TotalTime>
  <Pages>4</Pages>
  <Words>557</Words>
  <Characters>3177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Provincia di Lodi</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Luccarelli</dc:creator>
  <cp:lastModifiedBy>LIVRAGHI</cp:lastModifiedBy>
  <cp:revision>24</cp:revision>
  <cp:lastPrinted>2024-10-08T14:39:00Z</cp:lastPrinted>
  <dcterms:created xsi:type="dcterms:W3CDTF">2025-03-11T10:13:00Z</dcterms:created>
  <dcterms:modified xsi:type="dcterms:W3CDTF">2026-05-11T09:06:00Z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0x010100D881811B17BCCE43A9C90449BD018953</vt:lpwstr>
  </property>
</Properties>
</file>